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 xml:space="preserve">房安居3月至5月经纪人/店经理临时薪酬绩效制度 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ascii="Calibri" w:hAnsi="Calibri" w:cs="Calibri"/>
          <w:b/>
          <w:bCs/>
          <w:color w:val="FF00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shd w:val="clear" w:color="auto" w:fill="auto"/>
        </w:rPr>
        <w:t>一、经纪人和店经理序列的职级与提点、基础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shd w:val="clear" w:color="auto" w:fill="auto"/>
          <w:lang w:val="en-US" w:eastAsia="zh-CN"/>
        </w:rPr>
        <w:t>薪资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shd w:val="clear" w:color="auto" w:fill="auto"/>
        </w:rPr>
        <w:t>的对应关系：</w:t>
      </w:r>
    </w:p>
    <w:tbl>
      <w:tblPr>
        <w:tblStyle w:val="6"/>
        <w:tblW w:w="7983" w:type="dxa"/>
        <w:jc w:val="center"/>
        <w:tblInd w:w="5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1414"/>
        <w:gridCol w:w="1459"/>
        <w:gridCol w:w="1213"/>
        <w:gridCol w:w="14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定级范围</w:t>
            </w: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职级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对应星级</w:t>
            </w:r>
          </w:p>
        </w:tc>
        <w:tc>
          <w:tcPr>
            <w:tcW w:w="1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提点</w:t>
            </w:r>
          </w:p>
        </w:tc>
        <w:tc>
          <w:tcPr>
            <w:tcW w:w="1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基础薪资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-8000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见习经纪人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8000-80000（含）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经纪人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83185</wp:posOffset>
                      </wp:positionV>
                      <wp:extent cx="171450" cy="161925"/>
                      <wp:effectExtent l="19685" t="20320" r="37465" b="27305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66210" y="2374265"/>
                                <a:ext cx="17145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4pt;margin-top:6.55pt;height:12.75pt;width:13.5pt;z-index:251658240;v-text-anchor:middle;mso-width-relative:page;mso-height-relative:page;" fillcolor="#FF0000" filled="t" stroked="t" coordsize="171450,161925" o:gfxdata="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RDlrzVAAAABgEAAA8AAAAAAAAAAQAgAAAAIgAAAGRycy9kb3ducmV2LnhtbFBLAQIUABQA&#10;AAAIAIdO4kA5p+1eZQIAALUEAAAOAAAAAAAAAAEAIAAAACQBAABkcnMvZTJvRG9jLnhtbFBLBQYA&#10;AAAABgAGAFkBAAD7BQAAAAA=&#10;" path="m0,61849l65488,61850,85725,0,105961,61850,171449,61849,118468,100074,138705,161924,85725,123698,32744,161924,52981,100074xe">
                      <v:path o:connectlocs="85725,0;0,61849;32744,161924;138705,161924;171449,61849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店经理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店经理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26670</wp:posOffset>
                      </wp:positionV>
                      <wp:extent cx="257810" cy="231775"/>
                      <wp:effectExtent l="20320" t="19685" r="26670" b="3429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2317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9pt;margin-top:2.1pt;height:18.25pt;width:20.3pt;z-index:251726848;v-text-anchor:middle;mso-width-relative:page;mso-height-relative:page;" fillcolor="#FFC000 [3207]" filled="t" stroked="t" coordsize="257810,231775" o:gfxdata="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L9fuvWAAAA&#10;BgEAAA8AAAAAAAAAAQAgAAAAIgAAAGRycy9kb3ducmV2LnhtbFBLAQIUABQAAAAIAIdO4kDcxZkc&#10;WAIAAKsEAAAOAAAAAAAAAAEAIAAAACUBAABkcnMvZTJvRG9jLnhtbFBLBQYAAAAABgAGAFkBAADv&#10;BQAAAAA=&#10;" path="m0,88529l98475,88530,128905,0,159334,88530,257809,88529,178141,143244,208572,231774,128905,177059,49237,231774,79668,143244xe">
                      <v:path o:connectlocs="128905,0;0,88529;49237,231774;208572,231774;257809,88529" o:connectangles="247,164,82,82,0"/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&gt;200000（可选做）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自由经纪人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77470</wp:posOffset>
                      </wp:positionV>
                      <wp:extent cx="171450" cy="161925"/>
                      <wp:effectExtent l="19685" t="20320" r="37465" b="27305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8pt;margin-top:6.1pt;height:12.75pt;width:13.5pt;z-index:251757568;v-text-anchor:middle;mso-width-relative:page;mso-height-relative:page;" fillcolor="#00B050" filled="t" stroked="t" coordsize="171450,161925" o:gfxdata="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znuUx1QAA&#10;AAkBAAAPAAAAAAAAAAEAIAAAACIAAABkcnMvZG93bnJldi54bWxQSwECFAAUAAAACACHTuJAs5cW&#10;IFoCAACrBAAADgAAAAAAAAABACAAAAAkAQAAZHJzL2Uyb0RvYy54bWxQSwUGAAAAAAYABgBZAQAA&#10;8AUAAAAA&#10;" path="m0,61849l65488,61850,85725,0,105961,61850,171449,61849,118468,100074,138705,161924,85725,123698,32744,161924,52981,100074xe">
                      <v:path o:connectlocs="85725,0;0,61849;32744,161924;138705,161924;171449,61849" o:connectangles="247,164,82,82,0"/>
                      <v:fill on="t" focussize="0,0"/>
                      <v:stroke weight="1pt" color="#00B05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81280</wp:posOffset>
                      </wp:positionV>
                      <wp:extent cx="171450" cy="161925"/>
                      <wp:effectExtent l="19685" t="20320" r="37465" b="27305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5.4pt;margin-top:6.4pt;height:12.75pt;width:13.5pt;z-index:251751424;v-text-anchor:middle;mso-width-relative:page;mso-height-relative:page;" fillcolor="#00B050" filled="t" stroked="t" coordsize="171450,161925" o:gfxdata="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wYgI0wAAAAcB&#10;AAAPAAAAAAAAAAEAIAAAACIAAABkcnMvZG93bnJldi54bWxQSwECFAAUAAAACACHTuJAbtZCn1kC&#10;AACrBAAADgAAAAAAAAABACAAAAAiAQAAZHJzL2Uyb0RvYy54bWxQSwUGAAAAAAYABgBZAQAA7QUA&#10;AAAA&#10;" path="m0,61849l65488,61850,85725,0,105961,61850,171449,61849,118468,100074,138705,161924,85725,123698,32744,161924,52981,100074xe">
                      <v:path o:connectlocs="85725,0;0,61849;32744,161924;138705,161924;171449,61849" o:connectangles="247,164,82,82,0"/>
                      <v:fill on="t" focussize="0,0"/>
                      <v:stroke weight="1pt" color="#00B05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75565</wp:posOffset>
                      </wp:positionV>
                      <wp:extent cx="171450" cy="161925"/>
                      <wp:effectExtent l="19685" t="20320" r="37465" b="27305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55pt;margin-top:5.95pt;height:12.75pt;width:13.5pt;z-index:251745280;v-text-anchor:middle;mso-width-relative:page;mso-height-relative:page;" fillcolor="#00B050" filled="t" stroked="t" coordsize="171450,161925" o:gfxdata="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AxG7tIAAAAHAQAA&#10;DwAAAAAAAAABACAAAAAiAAAAZHJzL2Rvd25yZXYueG1sUEsBAhQAFAAAAAgAh07iQPGghaBYAgAA&#10;qwQAAA4AAAAAAAAAAQAgAAAAIQEAAGRycy9lMm9Eb2MueG1sUEsFBgAAAAAGAAYAWQEAAOsFAAAA&#10;AA==&#10;" path="m0,61849l65488,61850,85725,0,105961,61850,171449,61849,118468,100074,138705,161924,85725,123698,32744,161924,52981,100074xe">
                      <v:path o:connectlocs="85725,0;0,61849;32744,161924;138705,161924;171449,61849" o:connectangles="247,164,82,82,0"/>
                      <v:fill on="t" focussize="0,0"/>
                      <v:stroke weight="1pt" color="#00B05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78740</wp:posOffset>
                      </wp:positionV>
                      <wp:extent cx="171450" cy="161925"/>
                      <wp:effectExtent l="19685" t="20320" r="37465" b="27305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25pt;margin-top:6.2pt;height:12.75pt;width:13.5pt;z-index:251739136;v-text-anchor:middle;mso-width-relative:page;mso-height-relative:page;" fillcolor="#00B050" filled="t" stroked="t" coordsize="171450,161925" o:gfxdata="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nS1TzSAAAABgEA&#10;AA8AAAAAAAAAAQAgAAAAIgAAAGRycy9kb3ducmV2LnhtbFBLAQIUABQAAAAIAIdO4kBQO8zgWQIA&#10;AKsEAAAOAAAAAAAAAAEAIAAAACEBAABkcnMvZTJvRG9jLnhtbFBLBQYAAAAABgAGAFkBAADsBQAA&#10;AAA=&#10;" path="m0,61849l65488,61850,85725,0,105961,61850,171449,61849,118468,100074,138705,161924,85725,123698,32744,161924,52981,100074xe">
                      <v:path o:connectlocs="85725,0;0,61849;32744,161924;138705,161924;171449,61849" o:connectangles="247,164,82,82,0"/>
                      <v:fill on="t" focussize="0,0"/>
                      <v:stroke weight="1pt" color="#00B05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50%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 w:themeFill="background1"/>
              <w:spacing w:before="156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备注：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default" w:ascii="Calibri" w:hAnsi="Calibri" w:cs="Calibri"/>
          <w:b/>
          <w:bCs/>
          <w:color w:val="FF00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shd w:val="clear" w:color="auto" w:fill="auto"/>
        </w:rPr>
        <w:t>、工资收入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2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经纪人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现金收入由底薪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业绩提成构成。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shd w:val="clear" w:color="auto" w:fill="auto"/>
        </w:rPr>
        <w:t>(一)底薪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见习经纪人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级别员工，底薪为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000元，按出勤天数计发，最多发放6个月；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2、其他级别经纪人享受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shd w:val="clear" w:color="auto" w:fill="auto"/>
        </w:rPr>
        <w:t>(二)业绩提成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1、 经纪人及店经理的业绩提成为月度发放，以当月“个人业绩”为基数，以当月对应的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级别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提点计算提成。“个人业绩”是指根据《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房安居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业绩分配制度》分配给经纪人的业绩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减去当月以及之前的基础薪资借款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后的业绩。（2018年3月至4月不按借款标准执行）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8" w:right="0" w:hanging="1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业绩提成计算方法举例：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8" w:right="0" w:hanging="1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员工小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在3月份的级别为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高级经纪人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，3月份个人业绩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万元，则小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3月份的应发提成的计算方法为：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8" w:right="0" w:hanging="1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第一步：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按固定提成比例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，为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%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8" w:right="0" w:hanging="1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第二步：直接拿个人业绩与提点相乘：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0000*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%=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10000元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8" w:right="0" w:hanging="10"/>
        <w:jc w:val="both"/>
        <w:rPr>
          <w:rFonts w:hint="default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第三步：提成+基础薪资（10000+2000=12000），则小张3月工资为12000元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2、  提成发放规则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992" w:right="0" w:hanging="567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2.1  对于二手房买卖业务，提成在收款、业绩申报完毕后的次月发放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总提成的50%，剩余50%在过户完次月发放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992" w:right="0" w:hanging="567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2.2  对于租赁业务，提成在收款、业绩申报完毕且报单后的次月发放；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992" w:right="0" w:hanging="567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2.3  对于新房业务，提成在收款、业绩申报完毕且驻场主管申报提成后的次月发放；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992" w:right="0" w:hanging="567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  员工离职后，不允许再操作任何业务，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经理需安排其他在职员工办理缴税过户等后续业务。在过户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后次月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，离职员工发放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剩余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提成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的70%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，剩余的30%由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经理确定办理后续业务的员工获得，如无人申领，则冲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发放至门店作为公积金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992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备注：提成申请流程由本人填写《提成申领的情况说明》，逐级签字后交原件到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公司总部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shd w:val="clear" w:color="auto" w:fill="auto"/>
        </w:rPr>
        <w:t>(三) 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政策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2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为保证员工的正常生活所需，公司提供为员工提供了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2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ascii="Wingdings" w:hAnsi="Wingdings" w:eastAsia="微软雅黑" w:cs="Wingdings"/>
          <w:color w:val="auto"/>
          <w:sz w:val="21"/>
          <w:szCs w:val="21"/>
          <w:highlight w:val="none"/>
          <w:shd w:val="clear" w:color="auto" w:fill="auto"/>
        </w:rPr>
        <w:t>l 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如果员工当月的应发工资小于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标准时，公司会自动给员工发放一笔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以保证员工当月的收入达到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标准。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2" w:right="0" w:hanging="420"/>
        <w:jc w:val="both"/>
        <w:rPr>
          <w:rFonts w:hint="default" w:ascii="Calibri" w:hAnsi="Calibri" w:cs="Calibri"/>
          <w:color w:val="FF0000"/>
          <w:sz w:val="21"/>
          <w:szCs w:val="21"/>
          <w:highlight w:val="none"/>
          <w:shd w:val="clear" w:color="auto" w:fill="auto"/>
        </w:rPr>
      </w:pPr>
      <w:r>
        <w:rPr>
          <w:rFonts w:hint="default" w:ascii="Wingdings" w:hAnsi="Wingdings" w:eastAsia="微软雅黑" w:cs="Wingdings"/>
          <w:color w:val="auto"/>
          <w:sz w:val="21"/>
          <w:szCs w:val="21"/>
          <w:highlight w:val="none"/>
          <w:shd w:val="clear" w:color="auto" w:fill="auto"/>
        </w:rPr>
        <w:t>l 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此基础薪资在未来所做业绩中扣除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此制度于5月1日执行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shd w:val="clear" w:color="auto" w:fill="auto"/>
          <w:lang w:eastAsia="zh-CN"/>
        </w:rPr>
        <w:t>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2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default" w:ascii="Wingdings" w:hAnsi="Wingdings" w:eastAsia="微软雅黑" w:cs="Wingdings"/>
          <w:color w:val="auto"/>
          <w:sz w:val="21"/>
          <w:szCs w:val="21"/>
          <w:highlight w:val="none"/>
          <w:shd w:val="clear" w:color="auto" w:fill="auto"/>
        </w:rPr>
        <w:t>l 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当员工的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额度用完时，即使应发工资没有达到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，公司也不再提供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保障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款，并进入淘汰流程。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842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default" w:ascii="Wingdings" w:hAnsi="Wingdings" w:eastAsia="微软雅黑" w:cs="Wingdings"/>
          <w:color w:val="auto"/>
          <w:sz w:val="21"/>
          <w:szCs w:val="21"/>
          <w:highlight w:val="none"/>
          <w:shd w:val="clear" w:color="auto" w:fill="auto"/>
        </w:rPr>
        <w:t>l 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各级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别经纪人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对应的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标准和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额度上限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12000.00元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备注：经纪人所扣保障款为之后所做的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shd w:val="clear" w:color="auto" w:fill="auto"/>
          <w:lang w:val="en-US" w:eastAsia="zh-CN"/>
        </w:rPr>
        <w:t>业绩而非提成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 w:themeFill="background1"/>
        <w:spacing w:before="156" w:beforeAutospacing="0" w:after="0" w:afterAutospacing="0"/>
        <w:ind w:leftChars="0" w:right="0" w:rightChars="0"/>
        <w:jc w:val="both"/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</w:rPr>
        <w:t>店经理的权责利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 w:themeFill="background1"/>
        <w:spacing w:before="156" w:beforeAutospacing="0" w:after="0" w:afterAutospacing="0"/>
        <w:ind w:leftChars="0" w:right="0" w:rightChars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店经理定位为管理者，除自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可以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做业务之外，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主要工作为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带教及管理本组经纪人。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1、享受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本组业绩的利润分红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待遇。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2、享受带教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徒弟店组的利润分红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待遇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3、带教带教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徒弟店组的利润分红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待遇，详见《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合作经营协议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》。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5、晋升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大股东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只能从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店经理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中产生。　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6" w:right="0" w:hanging="425"/>
        <w:jc w:val="both"/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四、网络端口费用普通员工由公司承担，店经理端口公司承担50%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-360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shd w:val="clear" w:color="auto" w:fill="auto"/>
        </w:rPr>
        <w:t>附件一：以上制度具体实施的补充规定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</w:rPr>
        <w:t>1、   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若业绩发生扣减，则该单负提成按业绩扣减当月经纪人</w:t>
      </w: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</w:rPr>
        <w:t>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店经理职级对应的提点计算。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</w:rPr>
        <w:t>2、    </w:t>
      </w:r>
      <w:r>
        <w:rPr>
          <w:rFonts w:hint="eastAsia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转正经纪人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及以上员工若当月领取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补助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且有请假，当月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补助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需按天核算。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</w:rPr>
        <w:t>3、    </w:t>
      </w:r>
      <w:r>
        <w:rPr>
          <w:rFonts w:hint="eastAsia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转正经纪人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及以上员工，若离职当月在岗未满整月，则按</w:t>
      </w: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</w:rPr>
        <w:t>1500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元</w:t>
      </w: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shd w:val="clear" w:color="auto" w:fill="auto"/>
        </w:rPr>
        <w:t>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月的标准折算到天作为离职当月的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。对有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借款的员工，若离职时无提成收入，则无需偿还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所欠基础薪资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；若要复职，则入职前需偿还之前的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所欠基础薪资的40%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剩余60%在入职后所做业绩中扣除。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资源奖励办法：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3月1至5月31日止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但凡售单开盘（车位、公寓除外）奖励经纪人30/套（1周兑现一次）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但凡租单开盘（车位除外）奖励经纪人5元/套（1周兑现一次）</w:t>
      </w: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 w:themeFill="background1"/>
        <w:spacing w:before="156" w:beforeAutospacing="0" w:after="0" w:afterAutospacing="0"/>
        <w:ind w:left="420" w:right="0" w:hanging="420"/>
        <w:jc w:val="both"/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为鼓励第一批开辟战场的同事，故制定以上薪酬制度截止时间为6月1日，前面重要为资源奖励，和签单奖励所以把提成从原来的30%提高到50%。所有提成均按实际新签业绩来核算。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6811"/>
    <w:rsid w:val="0CFD55F8"/>
    <w:rsid w:val="1E9F6314"/>
    <w:rsid w:val="4F38213B"/>
    <w:rsid w:val="4FAD2976"/>
    <w:rsid w:val="51BC4364"/>
    <w:rsid w:val="6E40107A"/>
    <w:rsid w:val="77262E20"/>
    <w:rsid w:val="7F9208AE"/>
    <w:rsid w:val="7F9C4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EE7B1D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rFonts w:ascii="微软雅黑" w:hAnsi="微软雅黑" w:eastAsia="微软雅黑" w:cs="微软雅黑"/>
      <w:color w:val="333333"/>
      <w:sz w:val="18"/>
      <w:szCs w:val="18"/>
      <w:u w:val="none"/>
    </w:rPr>
  </w:style>
  <w:style w:type="character" w:customStyle="1" w:styleId="7">
    <w:name w:val="hover12"/>
    <w:basedOn w:val="3"/>
    <w:qFormat/>
    <w:uiPriority w:val="0"/>
    <w:rPr>
      <w:b/>
      <w:color w:val="E21615"/>
    </w:rPr>
  </w:style>
  <w:style w:type="character" w:customStyle="1" w:styleId="8">
    <w:name w:val="hover13"/>
    <w:basedOn w:val="3"/>
    <w:qFormat/>
    <w:uiPriority w:val="0"/>
    <w:rPr>
      <w:color w:val="1A85D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2018-02-27T14:44:49Z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